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1D80" w14:textId="5FCF2C06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ЦЕНТРАЛЬНЫЙ БАНК РОССИЙСКОЙ ФЕДЕРАЦИИ</w:t>
      </w:r>
    </w:p>
    <w:p w14:paraId="67987A7C" w14:textId="77777777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10F0BC89" w14:textId="29D8B99F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от 5 декабря 2013 г. N 147-И</w:t>
      </w:r>
    </w:p>
    <w:p w14:paraId="7E7D7C74" w14:textId="77777777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О ПОРЯДКЕ</w:t>
      </w:r>
    </w:p>
    <w:p w14:paraId="2F1C602F" w14:textId="77777777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ПРОВЕДЕНИЯ ПРОВЕРОК КРЕДИТНЫХ ОРГАНИЗАЦИЙ (ИХ ФИЛИАЛОВ)</w:t>
      </w:r>
    </w:p>
    <w:p w14:paraId="6EA2B03B" w14:textId="77777777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УПОЛНОМОЧЕННЫМИ ПРЕДСТАВИТЕЛЯМИ ЦЕНТРАЛЬНОГО БАНКА</w:t>
      </w:r>
    </w:p>
    <w:p w14:paraId="44E1C949" w14:textId="1BA49ABE" w:rsidR="00355809" w:rsidRPr="004E7C03" w:rsidRDefault="00355809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РОССИЙСКОЙ ФЕДЕРАЦИИ (БАНКА РОССИИ)</w:t>
      </w:r>
    </w:p>
    <w:p w14:paraId="6ECEB760" w14:textId="77777777" w:rsidR="00355809" w:rsidRPr="004E7C03" w:rsidRDefault="00355809" w:rsidP="004E7C03">
      <w:pPr>
        <w:pStyle w:val="ConsPlusNormal"/>
        <w:spacing w:line="360" w:lineRule="auto"/>
        <w:ind w:left="-993" w:firstLine="851"/>
        <w:jc w:val="both"/>
        <w:rPr>
          <w:sz w:val="28"/>
          <w:szCs w:val="28"/>
        </w:rPr>
      </w:pPr>
      <w:r w:rsidRPr="004E7C03">
        <w:rPr>
          <w:sz w:val="28"/>
          <w:szCs w:val="28"/>
        </w:rPr>
        <w:t>1.1. Проверки кредитных организаций (их филиалов) проводятся Банком России для осуществления функций банковского регулирования и банковского надзора.</w:t>
      </w:r>
    </w:p>
    <w:p w14:paraId="758DF4B0" w14:textId="12CA395B" w:rsidR="00355809" w:rsidRPr="004E7C03" w:rsidRDefault="00355809" w:rsidP="004E7C03">
      <w:pPr>
        <w:pStyle w:val="ConsPlusNormal"/>
        <w:spacing w:before="240" w:line="360" w:lineRule="auto"/>
        <w:ind w:left="-993" w:firstLine="851"/>
        <w:jc w:val="both"/>
        <w:rPr>
          <w:sz w:val="28"/>
          <w:szCs w:val="28"/>
        </w:rPr>
      </w:pPr>
      <w:r w:rsidRPr="004E7C03">
        <w:rPr>
          <w:sz w:val="28"/>
          <w:szCs w:val="28"/>
        </w:rPr>
        <w:t>1.2. Настоящая Инструкция распространяется</w:t>
      </w:r>
      <w:r w:rsidR="008C4BFA" w:rsidRPr="004E7C03">
        <w:rPr>
          <w:sz w:val="28"/>
          <w:szCs w:val="28"/>
        </w:rPr>
        <w:t xml:space="preserve"> </w:t>
      </w:r>
      <w:r w:rsidRPr="004E7C03">
        <w:rPr>
          <w:sz w:val="28"/>
          <w:szCs w:val="28"/>
        </w:rPr>
        <w:t>на действующие на территории Российской Федерации кредитные организации;</w:t>
      </w:r>
    </w:p>
    <w:p w14:paraId="0ACF8908" w14:textId="4996991D" w:rsidR="00355809" w:rsidRPr="004E7C03" w:rsidRDefault="00355809" w:rsidP="004E7C03">
      <w:pPr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03">
        <w:rPr>
          <w:rFonts w:ascii="Times New Roman" w:hAnsi="Times New Roman" w:cs="Times New Roman"/>
          <w:sz w:val="28"/>
          <w:szCs w:val="28"/>
        </w:rPr>
        <w:t>1.3. Основной целью проведения Банком России проверок кредитных организаций (их филиалов) является оценка в том числе активов кредитной организации (ее филиала),</w:t>
      </w:r>
      <w:r w:rsidRPr="004E7C03">
        <w:rPr>
          <w:rFonts w:ascii="Times New Roman" w:hAnsi="Times New Roman" w:cs="Times New Roman"/>
          <w:b/>
          <w:bCs/>
          <w:sz w:val="28"/>
          <w:szCs w:val="28"/>
        </w:rPr>
        <w:t xml:space="preserve"> включенных в состав активов, принимаемых в обеспечение кредитов Банка России</w:t>
      </w:r>
      <w:r w:rsidRPr="004E7C03">
        <w:rPr>
          <w:rFonts w:ascii="Times New Roman" w:hAnsi="Times New Roman" w:cs="Times New Roman"/>
          <w:sz w:val="28"/>
          <w:szCs w:val="28"/>
        </w:rPr>
        <w:t xml:space="preserve">, в том числе находящихся в залоге по кредитам Банка России), включая оценку системы управления рисками и </w:t>
      </w:r>
      <w:r w:rsidRPr="004E7C03">
        <w:rPr>
          <w:rFonts w:ascii="Times New Roman" w:hAnsi="Times New Roman" w:cs="Times New Roman"/>
          <w:b/>
          <w:bCs/>
          <w:sz w:val="28"/>
          <w:szCs w:val="28"/>
        </w:rPr>
        <w:t>состояния внутреннего контроля,</w:t>
      </w:r>
      <w:r w:rsidRPr="004E7C03">
        <w:rPr>
          <w:rFonts w:ascii="Times New Roman" w:hAnsi="Times New Roman" w:cs="Times New Roman"/>
          <w:sz w:val="28"/>
          <w:szCs w:val="28"/>
        </w:rPr>
        <w:t xml:space="preserve"> оценка финансовой устойчивости, экономического положения, финансового состояния кредитной организации</w:t>
      </w:r>
    </w:p>
    <w:p w14:paraId="50947100" w14:textId="0BFA1ECA" w:rsidR="008C4BFA" w:rsidRPr="004E7C03" w:rsidRDefault="00355809" w:rsidP="004E7C03">
      <w:pPr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03">
        <w:rPr>
          <w:rFonts w:ascii="Times New Roman" w:hAnsi="Times New Roman" w:cs="Times New Roman"/>
          <w:sz w:val="28"/>
          <w:szCs w:val="28"/>
        </w:rPr>
        <w:t>1.4. Проверки кредитных организаций проводятся не реже одного раза в 24 месяца</w:t>
      </w:r>
    </w:p>
    <w:p w14:paraId="7576DF0B" w14:textId="157BD798" w:rsidR="000F637A" w:rsidRPr="004E7C03" w:rsidRDefault="000F637A" w:rsidP="004E7C03">
      <w:pPr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ЦЕНТРАЛЬНЫЙ БАНК РОССИЙСКОЙ ФЕДЕРАЦИИ</w:t>
      </w:r>
    </w:p>
    <w:p w14:paraId="6C579005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763D06BA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b/>
          <w:bCs/>
          <w:sz w:val="24"/>
          <w:szCs w:val="24"/>
        </w:rPr>
        <w:t>от 20 декабря 2016 г. N 176-И</w:t>
      </w:r>
    </w:p>
    <w:p w14:paraId="1E37F19A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3C674D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О ПОРЯДКЕ И СЛУЧАЯХ</w:t>
      </w:r>
    </w:p>
    <w:p w14:paraId="1F53E452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ПРОВЕДЕНИЯ УПОЛНОМОЧЕННЫМИ ПРЕДСТАВИТЕЛЯМИ (СЛУЖАЩИМИ)</w:t>
      </w:r>
    </w:p>
    <w:p w14:paraId="706ACE1D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Pr="004E7C03">
        <w:rPr>
          <w:rFonts w:ascii="Times New Roman" w:hAnsi="Times New Roman" w:cs="Times New Roman"/>
          <w:b/>
          <w:bCs/>
          <w:sz w:val="24"/>
          <w:szCs w:val="24"/>
        </w:rPr>
        <w:t>ОСМОТРА ПРЕДМЕТА ЗАЛОГА</w:t>
      </w:r>
      <w:r w:rsidRPr="004E7C03">
        <w:rPr>
          <w:rFonts w:ascii="Times New Roman" w:hAnsi="Times New Roman" w:cs="Times New Roman"/>
          <w:sz w:val="24"/>
          <w:szCs w:val="24"/>
        </w:rPr>
        <w:t>, ПРИНЯТОГО КРЕДИТНОЙ</w:t>
      </w:r>
    </w:p>
    <w:p w14:paraId="4C7234CE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ОРГАНИЗАЦИЕЙ В КАЧЕСТВЕ ОБЕСПЕЧЕНИЯ ПО ССУДЕ,</w:t>
      </w:r>
    </w:p>
    <w:p w14:paraId="5460AFDB" w14:textId="77777777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4E7C03">
        <w:rPr>
          <w:rFonts w:ascii="Times New Roman" w:hAnsi="Times New Roman" w:cs="Times New Roman"/>
          <w:b/>
          <w:bCs/>
          <w:sz w:val="24"/>
          <w:szCs w:val="24"/>
        </w:rPr>
        <w:t>ОЗНАКОМЛЕНИЯ С ДЕЯТЕЛЬНОСТЬЮ ЗАЕМЩИКА</w:t>
      </w:r>
    </w:p>
    <w:p w14:paraId="25CF1E2A" w14:textId="085A7312" w:rsidR="000F637A" w:rsidRPr="004E7C03" w:rsidRDefault="000F637A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C03">
        <w:rPr>
          <w:rFonts w:ascii="Times New Roman" w:hAnsi="Times New Roman" w:cs="Times New Roman"/>
          <w:sz w:val="24"/>
          <w:szCs w:val="24"/>
        </w:rPr>
        <w:t>КРЕДИТНОЙ ОРГАНИЗАЦИИ И (ИЛИ) ЗАЛОГОДАТЕЛЯ</w:t>
      </w:r>
    </w:p>
    <w:p w14:paraId="10FD2D65" w14:textId="5BC3237A" w:rsidR="00ED2D28" w:rsidRPr="004E7C03" w:rsidRDefault="00ED2D28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34EA77" w14:textId="56B68165" w:rsidR="00ED2D28" w:rsidRPr="004E7C03" w:rsidRDefault="00ED2D28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03">
        <w:rPr>
          <w:rFonts w:ascii="Times New Roman" w:hAnsi="Times New Roman" w:cs="Times New Roman"/>
          <w:sz w:val="28"/>
          <w:szCs w:val="28"/>
        </w:rPr>
        <w:t xml:space="preserve">и на основании решения </w:t>
      </w:r>
      <w:r w:rsidRPr="004E7C03">
        <w:rPr>
          <w:rFonts w:ascii="Times New Roman" w:hAnsi="Times New Roman" w:cs="Times New Roman"/>
          <w:b/>
          <w:bCs/>
          <w:sz w:val="28"/>
          <w:szCs w:val="28"/>
        </w:rPr>
        <w:t>Совета директоров Банка России</w:t>
      </w:r>
      <w:r w:rsidRPr="004E7C03">
        <w:rPr>
          <w:rFonts w:ascii="Times New Roman" w:hAnsi="Times New Roman" w:cs="Times New Roman"/>
          <w:sz w:val="28"/>
          <w:szCs w:val="28"/>
        </w:rPr>
        <w:t xml:space="preserve"> (протокол заседания Совета директоров Банка России от 16 декабря 2016 года N 33) </w:t>
      </w:r>
      <w:r w:rsidRPr="004E7C0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порядок и случаи проведения уполномоченными представителями (служащими) Банка России (далее - уполномоченные представители Банка России) осмотра предмета залога, </w:t>
      </w:r>
      <w:r w:rsidRPr="004E7C03">
        <w:rPr>
          <w:rFonts w:ascii="Times New Roman" w:hAnsi="Times New Roman" w:cs="Times New Roman"/>
          <w:b/>
          <w:bCs/>
          <w:sz w:val="28"/>
          <w:szCs w:val="28"/>
        </w:rPr>
        <w:t>принятого кредитной организацией</w:t>
      </w:r>
      <w:r w:rsidRPr="004E7C03">
        <w:rPr>
          <w:rFonts w:ascii="Times New Roman" w:hAnsi="Times New Roman" w:cs="Times New Roman"/>
          <w:sz w:val="28"/>
          <w:szCs w:val="28"/>
        </w:rPr>
        <w:t xml:space="preserve"> в качестве обеспечения по ссуде и определенного частью восьмой статьи 73 </w:t>
      </w:r>
      <w:bookmarkStart w:id="0" w:name="_Hlk42761607"/>
      <w:r w:rsidRPr="004E7C03">
        <w:rPr>
          <w:rFonts w:ascii="Times New Roman" w:hAnsi="Times New Roman" w:cs="Times New Roman"/>
          <w:sz w:val="28"/>
          <w:szCs w:val="28"/>
        </w:rPr>
        <w:t>Федерального закона "О Центральном банке Российской Федерации (Банке России)"</w:t>
      </w:r>
      <w:bookmarkEnd w:id="0"/>
      <w:r w:rsidRPr="004E7C03">
        <w:rPr>
          <w:rFonts w:ascii="Times New Roman" w:hAnsi="Times New Roman" w:cs="Times New Roman"/>
          <w:sz w:val="28"/>
          <w:szCs w:val="28"/>
        </w:rPr>
        <w:t xml:space="preserve">, по месту его хранения (нахождения) (далее - осмотр предмета залога) </w:t>
      </w:r>
      <w:r w:rsidRPr="004E7C03">
        <w:rPr>
          <w:rFonts w:ascii="Times New Roman" w:hAnsi="Times New Roman" w:cs="Times New Roman"/>
          <w:b/>
          <w:bCs/>
          <w:sz w:val="28"/>
          <w:szCs w:val="28"/>
        </w:rPr>
        <w:t>и ознакомления с деятельностью заемщика - юридического лица</w:t>
      </w:r>
      <w:r w:rsidRPr="004E7C03">
        <w:rPr>
          <w:rFonts w:ascii="Times New Roman" w:hAnsi="Times New Roman" w:cs="Times New Roman"/>
          <w:sz w:val="28"/>
          <w:szCs w:val="28"/>
        </w:rPr>
        <w:t xml:space="preserve"> либо индивидуального предпринимателя проверяемой кредитной организации</w:t>
      </w:r>
    </w:p>
    <w:p w14:paraId="328EEAD7" w14:textId="0E2C941A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28859F" w14:textId="77777777" w:rsidR="00D41084" w:rsidRPr="004E7C03" w:rsidRDefault="00D41084" w:rsidP="004E7C03">
      <w:pPr>
        <w:shd w:val="clear" w:color="auto" w:fill="FEFEFE"/>
        <w:spacing w:after="0" w:line="240" w:lineRule="auto"/>
        <w:ind w:left="-993" w:firstLine="85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E7C03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>Внести в Федеральный закон от 10 июля 2002 года № 86-ФЗ</w:t>
      </w: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"О Центральном банке Российской Федерации (Банке России)" (Собрание законодательства Российской Федерации, 2002, № 28, ст. 2790; 2003, № 2, ст. 157; 2007, № 1, ст. 10; 2011, № 27, ст. 3873; 2013, № 27, ст. 3438; 2014, № 52, ст. 7543) следующие изменения:</w:t>
      </w:r>
    </w:p>
    <w:p w14:paraId="44905AD8" w14:textId="77777777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14:paraId="5F3A5700" w14:textId="0D93228D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"В целях оценки активов и пассивов кредитной организации, в том числе достаточности резервов, создаваемых под риски, Банк России в установленном им порядке </w:t>
      </w:r>
      <w:r w:rsidRPr="004E7C03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>проводит экспертизу предмета залога</w:t>
      </w: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, принятого кредитной организацией в качестве обеспечения по ссуде, включающую установление фактического наличия предмета залога и его осмотр, </w:t>
      </w:r>
      <w:r w:rsidRPr="004E7C03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>установление правового статуса предмета</w:t>
      </w: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залога, а также суждение о стоимости предмета залога</w:t>
      </w:r>
    </w:p>
    <w:p w14:paraId="60A1336B" w14:textId="233E728E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14:paraId="2DBD6D88" w14:textId="429C5188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Уполномоченные представители (служащие) Банка России </w:t>
      </w:r>
      <w:r w:rsidRPr="001B3454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 xml:space="preserve">вправе проводить осмотр предмета залога, </w:t>
      </w: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принятого кредитной организацией в качестве обеспечения</w:t>
      </w:r>
    </w:p>
    <w:p w14:paraId="01F0AD1F" w14:textId="0A020D78" w:rsidR="00D41084" w:rsidRPr="004E7C03" w:rsidRDefault="00D41084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Кредитная организация обязана содействовать проведению уполномоченными представителями (служащими) Банка России осмотра предмета залога, принятого кредитной организацией в качестве обеспечения</w:t>
      </w:r>
    </w:p>
    <w:p w14:paraId="0BCB6F31" w14:textId="77777777" w:rsidR="00765D73" w:rsidRPr="004E7C03" w:rsidRDefault="00765D73" w:rsidP="004E7C03">
      <w:pPr>
        <w:pStyle w:val="a3"/>
        <w:spacing w:line="360" w:lineRule="auto"/>
        <w:ind w:left="-993" w:firstLine="851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14:paraId="2CE5E0DD" w14:textId="5D9B20D5" w:rsidR="00D41084" w:rsidRPr="001B3454" w:rsidRDefault="00D41084" w:rsidP="004E7C03">
      <w:pPr>
        <w:shd w:val="clear" w:color="auto" w:fill="FEFEFE"/>
        <w:spacing w:after="0" w:line="240" w:lineRule="auto"/>
        <w:ind w:left="-993" w:firstLine="851"/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</w:pPr>
      <w:r w:rsidRPr="001B3454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>"Кредитная организация обязана:</w:t>
      </w:r>
    </w:p>
    <w:p w14:paraId="23478690" w14:textId="77777777" w:rsidR="00765D73" w:rsidRPr="004E7C03" w:rsidRDefault="00765D73" w:rsidP="004E7C03">
      <w:pPr>
        <w:shd w:val="clear" w:color="auto" w:fill="FEFEFE"/>
        <w:spacing w:after="0" w:line="240" w:lineRule="auto"/>
        <w:ind w:left="-993" w:firstLine="85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14:paraId="3CC6ACF4" w14:textId="09F0380F" w:rsidR="00D41084" w:rsidRPr="001B3454" w:rsidRDefault="00D41084" w:rsidP="004E7C03">
      <w:pPr>
        <w:pStyle w:val="a3"/>
        <w:spacing w:line="360" w:lineRule="auto"/>
        <w:ind w:left="-99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C03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предусматривать во внутренних документах способы содействия в получении уполномоченными представителями (служащими) </w:t>
      </w:r>
      <w:r w:rsidRPr="001B3454">
        <w:rPr>
          <w:rFonts w:ascii="Arial" w:eastAsia="Times New Roman" w:hAnsi="Arial" w:cs="Arial"/>
          <w:b/>
          <w:bCs/>
          <w:color w:val="020C22"/>
          <w:sz w:val="26"/>
          <w:szCs w:val="26"/>
          <w:lang w:eastAsia="ru-RU"/>
        </w:rPr>
        <w:t>Банка России документов и информации о предмете залога, принятого кредитной организацией в качестве обеспечения</w:t>
      </w:r>
    </w:p>
    <w:sectPr w:rsidR="00D41084" w:rsidRPr="001B3454" w:rsidSect="004E7C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9"/>
    <w:rsid w:val="000F637A"/>
    <w:rsid w:val="001B3454"/>
    <w:rsid w:val="00355809"/>
    <w:rsid w:val="00407230"/>
    <w:rsid w:val="004E7C03"/>
    <w:rsid w:val="005D6DD6"/>
    <w:rsid w:val="00765D73"/>
    <w:rsid w:val="008C4BFA"/>
    <w:rsid w:val="00D41084"/>
    <w:rsid w:val="00E01219"/>
    <w:rsid w:val="00EC31EF"/>
    <w:rsid w:val="00E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0ED"/>
  <w15:chartTrackingRefBased/>
  <w15:docId w15:val="{C1F46880-D0D0-452F-850C-4FE71BB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10</cp:revision>
  <cp:lastPrinted>2020-06-11T19:01:00Z</cp:lastPrinted>
  <dcterms:created xsi:type="dcterms:W3CDTF">2020-06-11T18:23:00Z</dcterms:created>
  <dcterms:modified xsi:type="dcterms:W3CDTF">2020-06-15T08:57:00Z</dcterms:modified>
</cp:coreProperties>
</file>